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bookmarkStart w:id="2" w:name="OLE_LINK1"/>
      <w:r>
        <w:rPr>
          <w:rFonts w:ascii="Arial" w:hAnsi="Arial" w:cs="Arial"/>
          <w:b/>
          <w:color w:val="000000" w:themeColor="text1"/>
          <w:sz w:val="24"/>
          <w:szCs w:val="24"/>
          <w14:textFill>
            <w14:solidFill>
              <w14:schemeClr w14:val="tx1"/>
            </w14:solidFill>
          </w14:textFill>
        </w:rPr>
        <w:t xml:space="preserve">3GPP TSG-RAN WG4 Meeting # </w:t>
      </w:r>
      <w:r>
        <w:rPr>
          <w:rFonts w:hint="eastAsia" w:ascii="Arial" w:hAnsi="Arial" w:cs="Arial"/>
          <w:b/>
          <w:color w:val="000000" w:themeColor="text1"/>
          <w:sz w:val="24"/>
          <w:szCs w:val="24"/>
          <w14:textFill>
            <w14:solidFill>
              <w14:schemeClr w14:val="tx1"/>
            </w14:solidFill>
          </w14:textFill>
        </w:rPr>
        <w:t>10</w:t>
      </w:r>
      <w:r>
        <w:rPr>
          <w:rFonts w:hint="eastAsia" w:ascii="Arial" w:hAnsi="Arial" w:cs="Arial"/>
          <w:b/>
          <w:color w:val="000000" w:themeColor="text1"/>
          <w:sz w:val="24"/>
          <w:szCs w:val="24"/>
          <w:lang w:val="en-US" w:eastAsia="zh-CN"/>
          <w14:textFill>
            <w14:solidFill>
              <w14:schemeClr w14:val="tx1"/>
            </w14:solidFill>
          </w14:textFill>
        </w:rPr>
        <w:t>8bis</w:t>
      </w:r>
      <w:r>
        <w:rPr>
          <w:rFonts w:hint="eastAsia" w:ascii="Arial" w:hAnsi="Arial" w:cs="Arial"/>
          <w:b/>
          <w:color w:val="000000" w:themeColor="text1"/>
          <w:sz w:val="24"/>
          <w:szCs w:val="24"/>
          <w14:textFill>
            <w14:solidFill>
              <w14:schemeClr w14:val="tx1"/>
            </w14:solidFill>
          </w14:textFill>
        </w:rPr>
        <w:t xml:space="preserve"> </w:t>
      </w:r>
      <w:r>
        <w:rPr>
          <w:rFonts w:hint="eastAsia" w:ascii="Arial" w:hAnsi="Arial" w:cs="Arial"/>
          <w:b/>
          <w:color w:val="000000" w:themeColor="text1"/>
          <w:sz w:val="24"/>
          <w:szCs w:val="24"/>
          <w14:textFill>
            <w14:solidFill>
              <w14:schemeClr w14:val="tx1"/>
            </w14:solidFill>
          </w14:textFill>
        </w:rPr>
        <w:t xml:space="preserve">                              </w:t>
      </w:r>
      <w:r>
        <w:rPr>
          <w:rFonts w:hint="eastAsia" w:ascii="Arial" w:hAnsi="Arial" w:cs="Arial"/>
          <w:b/>
          <w:color w:val="000000" w:themeColor="text1"/>
          <w:sz w:val="24"/>
          <w:szCs w:val="24"/>
          <w14:textFill>
            <w14:solidFill>
              <w14:schemeClr w14:val="tx1"/>
            </w14:solidFill>
          </w14:textFill>
        </w:rPr>
        <w:t>R4-2315696</w:t>
      </w:r>
    </w:p>
    <w:bookmarkEnd w:id="2"/>
    <w:p>
      <w:pPr>
        <w:pStyle w:val="15"/>
        <w:widowControl w:val="0"/>
        <w:tabs>
          <w:tab w:val="right" w:pos="10440"/>
          <w:tab w:val="right" w:pos="13323"/>
          <w:tab w:val="clear" w:pos="4680"/>
          <w:tab w:val="clear" w:pos="9360"/>
        </w:tabs>
        <w:spacing w:beforeLines="0" w:afterLines="0"/>
        <w:outlineLvl w:val="0"/>
        <w:rPr>
          <w:b/>
          <w:i/>
          <w:color w:val="000000" w:themeColor="text1"/>
          <w:sz w:val="24"/>
          <w14:textFill>
            <w14:solidFill>
              <w14:schemeClr w14:val="tx1"/>
            </w14:solidFill>
          </w14:textFill>
        </w:rPr>
      </w:pPr>
      <w:r>
        <w:rPr>
          <w:rFonts w:hint="eastAsia" w:ascii="Arial" w:hAnsi="Arial" w:eastAsia="宋体" w:cs="Arial"/>
          <w:b/>
          <w:color w:val="000000" w:themeColor="text1"/>
          <w:sz w:val="24"/>
          <w:szCs w:val="24"/>
          <w:lang w:eastAsia="zh-CN"/>
          <w14:textFill>
            <w14:solidFill>
              <w14:schemeClr w14:val="tx1"/>
            </w14:solidFill>
          </w14:textFill>
        </w:rPr>
        <w:t>Xiamen, China, October 09 – October 13, 2023</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hint="eastAsia" w:ascii="Arial" w:hAnsi="Arial"/>
          <w:b/>
          <w:sz w:val="24"/>
          <w:lang w:val="en-US" w:eastAsia="zh-CN"/>
        </w:rPr>
        <w:t xml:space="preserve">Discussion on specification impacts for ATG demodulation </w:t>
      </w:r>
      <w:r>
        <w:rPr>
          <w:rFonts w:hint="eastAsia" w:ascii="Arial" w:hAnsi="Arial"/>
          <w:b/>
          <w:sz w:val="24"/>
          <w:lang w:val="en-US" w:eastAsia="zh-CN"/>
        </w:rPr>
        <w:tab/>
      </w:r>
      <w:r>
        <w:rPr>
          <w:rFonts w:hint="eastAsia" w:ascii="Arial" w:hAnsi="Arial"/>
          <w:b/>
          <w:sz w:val="24"/>
          <w:lang w:val="en-US" w:eastAsia="zh-CN"/>
        </w:rPr>
        <w:t>requirements</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bookmarkStart w:id="11" w:name="_GoBack"/>
      <w:r>
        <w:rPr>
          <w:rStyle w:val="59"/>
          <w:rFonts w:hint="eastAsia"/>
          <w:b/>
          <w:color w:val="000000" w:themeColor="text1"/>
          <w:lang w:val="en-US" w:eastAsia="zh-CN"/>
          <w14:textFill>
            <w14:solidFill>
              <w14:schemeClr w14:val="tx1"/>
            </w14:solidFill>
          </w14:textFill>
        </w:rPr>
        <w:t>5</w:t>
      </w:r>
      <w:r>
        <w:rPr>
          <w:rStyle w:val="59"/>
          <w:rFonts w:hint="eastAsia"/>
          <w:b/>
          <w:color w:val="000000" w:themeColor="text1"/>
          <w14:textFill>
            <w14:solidFill>
              <w14:schemeClr w14:val="tx1"/>
            </w14:solidFill>
          </w14:textFill>
        </w:rPr>
        <w:t>.</w:t>
      </w:r>
      <w:r>
        <w:rPr>
          <w:rStyle w:val="59"/>
          <w:rFonts w:hint="eastAsia"/>
          <w:b/>
          <w:color w:val="000000" w:themeColor="text1"/>
          <w:lang w:val="en-US" w:eastAsia="zh-CN"/>
          <w14:textFill>
            <w14:solidFill>
              <w14:schemeClr w14:val="tx1"/>
            </w14:solidFill>
          </w14:textFill>
        </w:rPr>
        <w:t>13</w:t>
      </w:r>
      <w:r>
        <w:rPr>
          <w:rStyle w:val="59"/>
          <w:rFonts w:hint="eastAsia"/>
          <w:b/>
          <w:color w:val="000000" w:themeColor="text1"/>
          <w14:textFill>
            <w14:solidFill>
              <w14:schemeClr w14:val="tx1"/>
            </w14:solidFill>
          </w14:textFill>
        </w:rPr>
        <w:t>.</w:t>
      </w:r>
      <w:r>
        <w:rPr>
          <w:rStyle w:val="59"/>
          <w:rFonts w:hint="eastAsia"/>
          <w:b/>
          <w:color w:val="000000" w:themeColor="text1"/>
          <w:lang w:val="en-US" w:eastAsia="zh-CN"/>
          <w14:textFill>
            <w14:solidFill>
              <w14:schemeClr w14:val="tx1"/>
            </w14:solidFill>
          </w14:textFill>
        </w:rPr>
        <w:t>7.1</w:t>
      </w:r>
      <w:bookmarkEnd w:id="11"/>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sz w:val="20"/>
          <w:szCs w:val="20"/>
          <w:lang w:val="en-US" w:eastAsia="zh-CN"/>
        </w:rPr>
      </w:pPr>
      <w:r>
        <w:rPr>
          <w:rFonts w:hint="eastAsia"/>
          <w:sz w:val="20"/>
          <w:szCs w:val="20"/>
          <w:lang w:val="en-US" w:eastAsia="zh-CN"/>
        </w:rPr>
        <w:t>In RAN #99e meeting</w:t>
      </w:r>
      <w:r>
        <w:rPr>
          <w:rFonts w:hint="eastAsia"/>
          <w:sz w:val="20"/>
          <w:szCs w:val="20"/>
          <w:vertAlign w:val="superscript"/>
          <w:lang w:val="en-US" w:eastAsia="zh-CN"/>
        </w:rPr>
        <w:t>[1]</w:t>
      </w:r>
      <w:r>
        <w:rPr>
          <w:rFonts w:hint="eastAsia"/>
          <w:sz w:val="20"/>
          <w:szCs w:val="20"/>
          <w:lang w:val="en-US" w:eastAsia="zh-CN"/>
        </w:rPr>
        <w:t xml:space="preserve">, the revised work item on Air-to-ground network for NR was approved.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cs="Times New Roman"/>
          <w:sz w:val="20"/>
          <w:szCs w:val="20"/>
          <w:lang w:val="en-US" w:eastAsia="zh-CN"/>
        </w:rPr>
      </w:pPr>
      <w:r>
        <w:rPr>
          <w:rFonts w:hint="eastAsia"/>
          <w:sz w:val="20"/>
          <w:szCs w:val="20"/>
          <w:lang w:val="en-US" w:eastAsia="zh-CN"/>
        </w:rPr>
        <w:t>During RAN4 #108 meeting, most of the issues has been reached for ATG scenarios and deployment</w:t>
      </w:r>
      <w:r>
        <w:rPr>
          <w:rFonts w:hint="eastAsia" w:cs="Times New Roman"/>
          <w:sz w:val="20"/>
          <w:szCs w:val="20"/>
          <w:lang w:val="en-US" w:eastAsia="zh-CN"/>
        </w:rPr>
        <w:t xml:space="preserve"> , one issue left is how the demodulation requirements of ATG are reflected in the specification which is listed below</w:t>
      </w:r>
      <w:r>
        <w:rPr>
          <w:rFonts w:hint="eastAsia" w:cs="Times New Roman"/>
          <w:sz w:val="20"/>
          <w:szCs w:val="20"/>
          <w:vertAlign w:val="superscript"/>
          <w:lang w:val="en-US" w:eastAsia="zh-CN"/>
        </w:rPr>
        <w:t>[2]</w:t>
      </w:r>
      <w:r>
        <w:rPr>
          <w:rFonts w:hint="eastAsia" w:cs="Times New Roman"/>
          <w:sz w:val="20"/>
          <w:szCs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w:t>
            </w:r>
            <w:r>
              <w:rPr>
                <w:rFonts w:hint="eastAsia" w:eastAsia="宋体"/>
                <w:b/>
                <w:sz w:val="20"/>
                <w:szCs w:val="20"/>
                <w:u w:val="single"/>
              </w:rPr>
              <w:t>5</w:t>
            </w:r>
            <w:r>
              <w:rPr>
                <w:b/>
                <w:sz w:val="20"/>
                <w:szCs w:val="20"/>
                <w:u w:val="single"/>
                <w:lang w:eastAsia="ko-KR"/>
              </w:rPr>
              <w:t>: Specification impact</w:t>
            </w:r>
          </w:p>
          <w:p>
            <w:pPr>
              <w:overflowPunct w:val="0"/>
              <w:autoSpaceDE w:val="0"/>
              <w:autoSpaceDN w:val="0"/>
              <w:adjustRightInd w:val="0"/>
              <w:spacing w:after="120"/>
              <w:textAlignment w:val="baseline"/>
              <w:rPr>
                <w:rFonts w:eastAsia="宋体"/>
                <w:sz w:val="20"/>
                <w:lang w:val="en-GB"/>
              </w:rPr>
            </w:pPr>
            <w:r>
              <w:rPr>
                <w:rFonts w:hint="eastAsia" w:eastAsia="宋体"/>
                <w:sz w:val="20"/>
              </w:rPr>
              <w:t>For ATG UE demodulation requirements</w:t>
            </w:r>
          </w:p>
          <w:p>
            <w:pPr>
              <w:numPr>
                <w:ilvl w:val="0"/>
                <w:numId w:val="7"/>
              </w:numPr>
              <w:overflowPunct w:val="0"/>
              <w:autoSpaceDE w:val="0"/>
              <w:autoSpaceDN w:val="0"/>
              <w:adjustRightInd w:val="0"/>
              <w:spacing w:after="120"/>
              <w:textAlignment w:val="baseline"/>
              <w:rPr>
                <w:rFonts w:eastAsia="宋体"/>
                <w:sz w:val="20"/>
                <w:lang w:val="en-GB"/>
              </w:rPr>
            </w:pPr>
            <w:r>
              <w:rPr>
                <w:rFonts w:hint="eastAsia" w:eastAsia="宋体"/>
                <w:sz w:val="20"/>
                <w:lang w:val="en-GB"/>
              </w:rPr>
              <w:t>Option 1: Introduce a new section under each physical channel for ATG UE demodulation requirements.</w:t>
            </w:r>
          </w:p>
          <w:p>
            <w:pPr>
              <w:numPr>
                <w:ilvl w:val="0"/>
                <w:numId w:val="7"/>
              </w:numPr>
              <w:overflowPunct w:val="0"/>
              <w:autoSpaceDE w:val="0"/>
              <w:autoSpaceDN w:val="0"/>
              <w:adjustRightInd w:val="0"/>
              <w:spacing w:after="120"/>
              <w:textAlignment w:val="baseline"/>
              <w:rPr>
                <w:rFonts w:eastAsia="宋体"/>
                <w:sz w:val="20"/>
                <w:lang w:val="en-GB"/>
              </w:rPr>
            </w:pPr>
            <w:r>
              <w:rPr>
                <w:rFonts w:hint="eastAsia" w:eastAsia="宋体"/>
                <w:sz w:val="20"/>
              </w:rPr>
              <w:t>Option 2:</w:t>
            </w:r>
          </w:p>
          <w:p>
            <w:pPr>
              <w:numPr>
                <w:ilvl w:val="1"/>
                <w:numId w:val="7"/>
              </w:numPr>
              <w:overflowPunct w:val="0"/>
              <w:autoSpaceDE w:val="0"/>
              <w:autoSpaceDN w:val="0"/>
              <w:adjustRightInd w:val="0"/>
              <w:spacing w:after="120"/>
              <w:textAlignment w:val="baseline"/>
              <w:rPr>
                <w:rFonts w:eastAsia="宋体"/>
                <w:sz w:val="20"/>
                <w:lang w:val="en-GB"/>
              </w:rPr>
            </w:pPr>
            <w:r>
              <w:rPr>
                <w:rFonts w:hint="eastAsia" w:eastAsia="宋体"/>
                <w:sz w:val="20"/>
              </w:rPr>
              <w:t>New clause for ATG applicability of requirements should be introduced</w:t>
            </w:r>
          </w:p>
          <w:p>
            <w:pPr>
              <w:numPr>
                <w:ilvl w:val="1"/>
                <w:numId w:val="7"/>
              </w:numPr>
              <w:overflowPunct w:val="0"/>
              <w:autoSpaceDE w:val="0"/>
              <w:autoSpaceDN w:val="0"/>
              <w:adjustRightInd w:val="0"/>
              <w:spacing w:after="120"/>
              <w:textAlignment w:val="baseline"/>
              <w:rPr>
                <w:rFonts w:eastAsia="宋体"/>
                <w:sz w:val="20"/>
                <w:lang w:val="en-GB"/>
              </w:rPr>
            </w:pPr>
            <w:r>
              <w:rPr>
                <w:rFonts w:hint="eastAsia" w:eastAsia="宋体"/>
                <w:sz w:val="20"/>
              </w:rPr>
              <w:t>New clauses for ATG new incremental PDSCH requirements should be introduced</w:t>
            </w:r>
          </w:p>
          <w:p>
            <w:pPr>
              <w:overflowPunct w:val="0"/>
              <w:autoSpaceDE w:val="0"/>
              <w:autoSpaceDN w:val="0"/>
              <w:adjustRightInd w:val="0"/>
              <w:spacing w:after="120"/>
              <w:textAlignment w:val="baseline"/>
              <w:rPr>
                <w:rFonts w:eastAsia="宋体"/>
                <w:sz w:val="20"/>
                <w:lang w:val="en-GB"/>
              </w:rPr>
            </w:pPr>
            <w:r>
              <w:rPr>
                <w:rFonts w:hint="eastAsia" w:eastAsia="宋体"/>
                <w:sz w:val="20"/>
              </w:rPr>
              <w:t>For ATG BS demodulation requirements</w:t>
            </w:r>
          </w:p>
          <w:p>
            <w:pPr>
              <w:numPr>
                <w:ilvl w:val="0"/>
                <w:numId w:val="7"/>
              </w:numPr>
              <w:overflowPunct w:val="0"/>
              <w:autoSpaceDE w:val="0"/>
              <w:autoSpaceDN w:val="0"/>
              <w:adjustRightInd w:val="0"/>
              <w:spacing w:after="120"/>
              <w:textAlignment w:val="baseline"/>
              <w:rPr>
                <w:rFonts w:eastAsia="宋体"/>
                <w:sz w:val="20"/>
                <w:lang w:val="en-GB"/>
              </w:rPr>
            </w:pPr>
            <w:r>
              <w:rPr>
                <w:rFonts w:hint="eastAsia" w:eastAsia="宋体"/>
                <w:sz w:val="20"/>
              </w:rPr>
              <w:t xml:space="preserve">Option 1: </w:t>
            </w:r>
            <w:r>
              <w:rPr>
                <w:rFonts w:hint="eastAsia" w:eastAsia="宋体"/>
                <w:sz w:val="20"/>
                <w:lang w:val="en-GB"/>
              </w:rPr>
              <w:t>Add a new section for ATG PUSCH demodulation requirements. In this section, clarifications for how to reuse legacy applicability rules and requirements should be added, and new defined PUSCH demodulation requirements could be captured.</w:t>
            </w:r>
          </w:p>
          <w:p>
            <w:pPr>
              <w:numPr>
                <w:ilvl w:val="0"/>
                <w:numId w:val="7"/>
              </w:numPr>
              <w:overflowPunct w:val="0"/>
              <w:autoSpaceDE w:val="0"/>
              <w:autoSpaceDN w:val="0"/>
              <w:adjustRightInd w:val="0"/>
              <w:spacing w:after="120"/>
              <w:textAlignment w:val="baseline"/>
              <w:rPr>
                <w:rFonts w:eastAsia="宋体"/>
                <w:sz w:val="20"/>
                <w:lang w:val="en-GB"/>
              </w:rPr>
            </w:pPr>
            <w:r>
              <w:rPr>
                <w:rFonts w:hint="eastAsia" w:eastAsia="宋体"/>
                <w:sz w:val="20"/>
              </w:rPr>
              <w:t>Option 2:</w:t>
            </w:r>
          </w:p>
          <w:p>
            <w:pPr>
              <w:numPr>
                <w:ilvl w:val="1"/>
                <w:numId w:val="7"/>
              </w:numPr>
              <w:overflowPunct w:val="0"/>
              <w:autoSpaceDE w:val="0"/>
              <w:autoSpaceDN w:val="0"/>
              <w:adjustRightInd w:val="0"/>
              <w:spacing w:after="120"/>
              <w:textAlignment w:val="baseline"/>
              <w:rPr>
                <w:rFonts w:eastAsia="宋体"/>
                <w:sz w:val="20"/>
                <w:lang w:val="en-GB"/>
              </w:rPr>
            </w:pPr>
            <w:r>
              <w:rPr>
                <w:rFonts w:hint="eastAsia" w:eastAsia="宋体"/>
                <w:sz w:val="20"/>
              </w:rPr>
              <w:t>New clause for ATG new incremental PUSCH requirements should be introduced in 38.104</w:t>
            </w:r>
          </w:p>
          <w:p>
            <w:pPr>
              <w:numPr>
                <w:ilvl w:val="1"/>
                <w:numId w:val="7"/>
              </w:numPr>
              <w:overflowPunct w:val="0"/>
              <w:autoSpaceDE w:val="0"/>
              <w:autoSpaceDN w:val="0"/>
              <w:adjustRightInd w:val="0"/>
              <w:spacing w:after="120"/>
              <w:textAlignment w:val="baseline"/>
              <w:rPr>
                <w:rFonts w:eastAsia="宋体"/>
                <w:sz w:val="20"/>
                <w:lang w:val="en-GB"/>
              </w:rPr>
            </w:pPr>
            <w:r>
              <w:rPr>
                <w:rFonts w:hint="eastAsia" w:eastAsia="宋体"/>
                <w:sz w:val="20"/>
              </w:rPr>
              <w:t>New clause for ATG applicability of PUSCH requirements should be introduced in 38.141-1 and 38.141-2</w:t>
            </w:r>
          </w:p>
          <w:p>
            <w:pPr>
              <w:numPr>
                <w:ilvl w:val="1"/>
                <w:numId w:val="7"/>
              </w:numPr>
              <w:overflowPunct w:val="0"/>
              <w:autoSpaceDE w:val="0"/>
              <w:autoSpaceDN w:val="0"/>
              <w:adjustRightInd w:val="0"/>
              <w:spacing w:after="120"/>
              <w:textAlignment w:val="baseline"/>
              <w:rPr>
                <w:rFonts w:eastAsia="宋体"/>
                <w:sz w:val="20"/>
                <w:lang w:val="en-GB"/>
              </w:rPr>
            </w:pPr>
            <w:r>
              <w:rPr>
                <w:rFonts w:hint="eastAsia" w:eastAsia="宋体"/>
                <w:sz w:val="20"/>
              </w:rPr>
              <w:t>New clause for ATG applicability of PUCCH requirements should be introduced in 38.141-1 and 38.141-2</w:t>
            </w:r>
          </w:p>
          <w:p>
            <w:pPr>
              <w:numPr>
                <w:ilvl w:val="1"/>
                <w:numId w:val="7"/>
              </w:numPr>
              <w:overflowPunct w:val="0"/>
              <w:autoSpaceDE w:val="0"/>
              <w:autoSpaceDN w:val="0"/>
              <w:adjustRightInd w:val="0"/>
              <w:spacing w:after="120"/>
              <w:textAlignment w:val="baseline"/>
              <w:rPr>
                <w:rFonts w:eastAsia="宋体"/>
                <w:sz w:val="20"/>
                <w:lang w:val="en-GB"/>
              </w:rPr>
            </w:pPr>
            <w:r>
              <w:rPr>
                <w:rFonts w:hint="eastAsia" w:eastAsia="宋体"/>
                <w:sz w:val="20"/>
              </w:rPr>
              <w:t>New clause for ATG applicability of PUCCH requirements should be introduced in 38.141-1 and 38.141-2</w:t>
            </w:r>
          </w:p>
          <w:p>
            <w:pPr>
              <w:numPr>
                <w:ilvl w:val="0"/>
                <w:numId w:val="7"/>
              </w:numPr>
              <w:overflowPunct w:val="0"/>
              <w:autoSpaceDE w:val="0"/>
              <w:autoSpaceDN w:val="0"/>
              <w:adjustRightInd w:val="0"/>
              <w:spacing w:after="120"/>
              <w:textAlignment w:val="baseline"/>
              <w:rPr>
                <w:sz w:val="20"/>
                <w:szCs w:val="20"/>
                <w:lang w:val="en-US"/>
              </w:rPr>
            </w:pPr>
            <w:r>
              <w:rPr>
                <w:rFonts w:hint="eastAsia" w:eastAsia="宋体"/>
                <w:sz w:val="20"/>
              </w:rPr>
              <w:t xml:space="preserve">Option 3: Capture ATG demodulation requirement into the same section with legacy requirement to minimize the effort of specification modification with adding the referring statement as “The following requirements in sections of 8.2.1 and 8.2.3 can be applied for BS declared to support ATG scenario”. New dedicated requirement can be added into the corresponding table in section 8.2.1 </w:t>
            </w:r>
          </w:p>
        </w:tc>
      </w:tr>
    </w:tbl>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kern w:val="0"/>
          <w:sz w:val="20"/>
          <w:lang w:val="en-US" w:eastAsia="zh-CN"/>
        </w:rPr>
      </w:pPr>
      <w:r>
        <w:rPr>
          <w:rFonts w:hint="eastAsia"/>
          <w:kern w:val="0"/>
          <w:sz w:val="20"/>
          <w:lang w:val="en-US" w:eastAsia="zh-CN"/>
        </w:rPr>
        <w:t xml:space="preserve">This contribution shares our views about the addition of ATG demodulation requirements in the specification. </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bookmarkStart w:id="4" w:name="OLE_LINK41"/>
      <w:bookmarkStart w:id="5" w:name="OLE_LINK6"/>
      <w:bookmarkStart w:id="6" w:name="OLE_LINK23"/>
      <w:bookmarkStart w:id="7" w:name="OLE_LINK66"/>
      <w:r>
        <w:rPr>
          <w:rFonts w:hint="eastAsia"/>
          <w:sz w:val="20"/>
          <w:lang w:val="en-US" w:eastAsia="zh-CN"/>
        </w:rPr>
        <w:t>By checking TS38.101-4 we find that the demodulation requirements for specific deployment such as HST are defined in a new section for PDSCH. Similarly, we can see in TS 38.104 that the demodulation requirements for PUSCH of HST are also defined in a separate section. In order to maintain consistency with the definition style of existing specification for demodulation requirements and to make the definition of various deployment demodulation clearer, it is preferred to define ATG demodulation requirements in a separate section.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Observation 1. For PDSCH demodulation requirements and PUSCH demodulation requirements we can find the separate section defined for specific deployment such as high speed train.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1. To consider option 1 for both DL and UL demodulation requirements to introduce new sections for ATG PDSCH demodulation requirements and ATG PUSCH demodulation requirements.</w:t>
      </w:r>
    </w:p>
    <w:bookmarkEnd w:id="4"/>
    <w:bookmarkEnd w:id="5"/>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bookmarkStart w:id="8" w:name="OLE_LINK11"/>
      <w:bookmarkStart w:id="9" w:name="OLE_LINK28"/>
      <w:r>
        <w:rPr>
          <w:rFonts w:hint="eastAsia"/>
          <w:sz w:val="20"/>
          <w:lang w:val="en-US" w:eastAsia="zh-CN"/>
        </w:rPr>
        <w:t>Another issue is the channel model for demodulation requirements, the channel model in the simulation assumption is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0"/>
                <w:szCs w:val="20"/>
                <w:u w:val="single"/>
                <w:lang w:eastAsia="ko-KR"/>
              </w:rPr>
            </w:pPr>
            <w:r>
              <w:rPr>
                <w:b/>
                <w:sz w:val="20"/>
                <w:szCs w:val="20"/>
                <w:u w:val="single"/>
                <w:lang w:eastAsia="ko-KR"/>
              </w:rPr>
              <w:t>Issue 1-1: Channel model:</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Agreement:</w:t>
            </w:r>
          </w:p>
          <w:p>
            <w:pPr>
              <w:numPr>
                <w:ilvl w:val="0"/>
                <w:numId w:val="7"/>
              </w:numPr>
              <w:overflowPunct w:val="0"/>
              <w:autoSpaceDE w:val="0"/>
              <w:autoSpaceDN w:val="0"/>
              <w:adjustRightInd w:val="0"/>
              <w:spacing w:after="120"/>
              <w:textAlignment w:val="baseline"/>
              <w:rPr>
                <w:rFonts w:hint="default"/>
                <w:sz w:val="20"/>
                <w:vertAlign w:val="baseline"/>
                <w:lang w:val="en-US" w:eastAsia="zh-CN"/>
              </w:rPr>
            </w:pPr>
            <w:r>
              <w:rPr>
                <w:rFonts w:eastAsia="宋体"/>
                <w:sz w:val="20"/>
                <w:lang w:val="en-GB"/>
              </w:rPr>
              <w:t>Only consider single path AWGN channel with Doppler for ATG incremental requirements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r>
        <w:rPr>
          <w:rFonts w:hint="eastAsia"/>
          <w:sz w:val="20"/>
          <w:lang w:val="en-US" w:eastAsia="zh-CN"/>
        </w:rPr>
        <w:t xml:space="preserve">With regard to AWGN channel, different companies have different understandings, such as All 1 Matrix, static channel defined in B.1 in TS 38.101-4.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2. To clarify the values of the channel matrix used for demodulation requirements is the static channel defined in B.1 in TS 38.101-4.</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p>
    <w:p>
      <w:pPr>
        <w:pStyle w:val="62"/>
        <w:keepLines w:val="0"/>
        <w:widowControl w:val="0"/>
        <w:spacing w:before="120" w:after="120"/>
        <w:ind w:left="0" w:firstLine="0"/>
        <w:rPr>
          <w:rFonts w:hint="default"/>
          <w:b/>
          <w:bCs/>
          <w:i/>
          <w:iCs/>
          <w:kern w:val="2"/>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bCs/>
          <w:kern w:val="0"/>
          <w:szCs w:val="21"/>
        </w:rPr>
      </w:pPr>
      <w:r>
        <w:rPr>
          <w:rFonts w:hint="eastAsia"/>
          <w:sz w:val="20"/>
        </w:rPr>
        <w:t xml:space="preserve">In this contribution, we give </w:t>
      </w:r>
      <w:r>
        <w:rPr>
          <w:rFonts w:hint="eastAsia"/>
          <w:sz w:val="20"/>
          <w:lang w:val="en-US" w:eastAsia="zh-CN"/>
        </w:rPr>
        <w:t xml:space="preserve">our viewpoint </w:t>
      </w:r>
      <w:r>
        <w:rPr>
          <w:rFonts w:hint="eastAsia"/>
          <w:kern w:val="0"/>
          <w:sz w:val="20"/>
          <w:lang w:val="en-US" w:eastAsia="zh-CN"/>
        </w:rPr>
        <w:t>about the addition of ATG demodulation requirements in the specification</w:t>
      </w:r>
      <w:r>
        <w:rPr>
          <w:rFonts w:hint="eastAsia"/>
          <w:sz w:val="20"/>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r>
        <w:rPr>
          <w:rFonts w:hint="eastAsia"/>
          <w:bCs/>
          <w:kern w:val="0"/>
          <w:szCs w:val="21"/>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b/>
          <w:bCs/>
          <w:i/>
          <w:iCs/>
          <w:kern w:val="2"/>
          <w:lang w:val="en-US" w:eastAsia="zh-CN"/>
        </w:rPr>
      </w:pPr>
      <w:r>
        <w:rPr>
          <w:rFonts w:hint="eastAsia"/>
          <w:b/>
          <w:bCs/>
          <w:i/>
          <w:iCs/>
          <w:kern w:val="2"/>
          <w:lang w:val="en-US" w:eastAsia="zh-CN"/>
        </w:rPr>
        <w:t>Observation 1. For PDSCH demodulation requirements and PUSCH demodulation requirements we can find the separate section defined for specific deployment such as high speed train.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1. To introduce new sections for ATG PDSCH demodulation requirements and ATG PUSCH demodulation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b/>
          <w:bCs/>
          <w:i/>
          <w:iCs/>
          <w:kern w:val="2"/>
          <w:lang w:val="en-US" w:eastAsia="zh-CN"/>
        </w:rPr>
      </w:pPr>
      <w:r>
        <w:rPr>
          <w:rFonts w:hint="eastAsia"/>
          <w:b/>
          <w:bCs/>
          <w:i/>
          <w:iCs/>
          <w:kern w:val="2"/>
          <w:lang w:val="en-US" w:eastAsia="zh-CN"/>
        </w:rPr>
        <w:t>Proposal 2. To clarify the values of the channel matrix used for demodulation requirements is the static channel defined in B.1 in TS 38.101-4.</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rPr>
        <w:t>RP-230279, Revised WID on Air-to-ground network for NR, CMCC</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R4-2313875</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3D4988"/>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870E9"/>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1720D"/>
    <w:rsid w:val="0EB72E4B"/>
    <w:rsid w:val="0EEC6F1D"/>
    <w:rsid w:val="0F0419EB"/>
    <w:rsid w:val="0F103291"/>
    <w:rsid w:val="0F1D498B"/>
    <w:rsid w:val="0F1E5A47"/>
    <w:rsid w:val="0F337178"/>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3F6A80"/>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30046"/>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517AB"/>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C1BEE"/>
    <w:rsid w:val="17FD061B"/>
    <w:rsid w:val="17FF6314"/>
    <w:rsid w:val="18005F41"/>
    <w:rsid w:val="18025414"/>
    <w:rsid w:val="18171305"/>
    <w:rsid w:val="182A241D"/>
    <w:rsid w:val="18334194"/>
    <w:rsid w:val="183E1D37"/>
    <w:rsid w:val="183E7BF4"/>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92BE6"/>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B6237"/>
    <w:rsid w:val="22CD14B5"/>
    <w:rsid w:val="22E02C6E"/>
    <w:rsid w:val="22E04FF4"/>
    <w:rsid w:val="22E1121B"/>
    <w:rsid w:val="22EA4C70"/>
    <w:rsid w:val="22F62099"/>
    <w:rsid w:val="22F75251"/>
    <w:rsid w:val="22F86F75"/>
    <w:rsid w:val="22FB4D32"/>
    <w:rsid w:val="23131055"/>
    <w:rsid w:val="233C6F76"/>
    <w:rsid w:val="234449F5"/>
    <w:rsid w:val="23536618"/>
    <w:rsid w:val="23816932"/>
    <w:rsid w:val="23923EC7"/>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31922"/>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784D57"/>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EF03F1"/>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396A0E"/>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175013"/>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25340"/>
    <w:rsid w:val="36985297"/>
    <w:rsid w:val="369F633B"/>
    <w:rsid w:val="36A30FDB"/>
    <w:rsid w:val="36A7007C"/>
    <w:rsid w:val="36B24AE8"/>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6DCB"/>
    <w:rsid w:val="38890D89"/>
    <w:rsid w:val="388E5848"/>
    <w:rsid w:val="38A341A7"/>
    <w:rsid w:val="38BA6810"/>
    <w:rsid w:val="38BD31EE"/>
    <w:rsid w:val="38BE4605"/>
    <w:rsid w:val="38CB3BDF"/>
    <w:rsid w:val="38D33D29"/>
    <w:rsid w:val="38D41CCF"/>
    <w:rsid w:val="38D62E18"/>
    <w:rsid w:val="38E04FCC"/>
    <w:rsid w:val="38E40A5B"/>
    <w:rsid w:val="38E842BA"/>
    <w:rsid w:val="38F07867"/>
    <w:rsid w:val="38F16A28"/>
    <w:rsid w:val="38F5790D"/>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F30D9"/>
    <w:rsid w:val="3AC17E3A"/>
    <w:rsid w:val="3ACB5746"/>
    <w:rsid w:val="3ACE209E"/>
    <w:rsid w:val="3ADA6F06"/>
    <w:rsid w:val="3ADD1594"/>
    <w:rsid w:val="3ADD2B05"/>
    <w:rsid w:val="3AE417E3"/>
    <w:rsid w:val="3AE440AF"/>
    <w:rsid w:val="3AF7667E"/>
    <w:rsid w:val="3B113F51"/>
    <w:rsid w:val="3B192990"/>
    <w:rsid w:val="3B295D73"/>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81B2B"/>
    <w:rsid w:val="3DF95812"/>
    <w:rsid w:val="3E1D4B24"/>
    <w:rsid w:val="3E3A04FA"/>
    <w:rsid w:val="3E3D6B96"/>
    <w:rsid w:val="3E441C7D"/>
    <w:rsid w:val="3E490256"/>
    <w:rsid w:val="3E55739E"/>
    <w:rsid w:val="3E610D47"/>
    <w:rsid w:val="3E6C43C8"/>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3D5455"/>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633AA"/>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50DF3"/>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54171"/>
    <w:rsid w:val="430E7E66"/>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94DDE"/>
    <w:rsid w:val="443F5998"/>
    <w:rsid w:val="44480935"/>
    <w:rsid w:val="444851FA"/>
    <w:rsid w:val="44544CC5"/>
    <w:rsid w:val="445E4DEE"/>
    <w:rsid w:val="44640994"/>
    <w:rsid w:val="446B0434"/>
    <w:rsid w:val="44756A66"/>
    <w:rsid w:val="44761F7D"/>
    <w:rsid w:val="447E4EBE"/>
    <w:rsid w:val="447F0CBA"/>
    <w:rsid w:val="44957F46"/>
    <w:rsid w:val="44994CF5"/>
    <w:rsid w:val="44AD40AD"/>
    <w:rsid w:val="44DC46EB"/>
    <w:rsid w:val="44E67D8B"/>
    <w:rsid w:val="44EA6491"/>
    <w:rsid w:val="44F03F8F"/>
    <w:rsid w:val="44F14ECF"/>
    <w:rsid w:val="44F8119B"/>
    <w:rsid w:val="4504328F"/>
    <w:rsid w:val="45275172"/>
    <w:rsid w:val="45332511"/>
    <w:rsid w:val="453F44DA"/>
    <w:rsid w:val="45412C46"/>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243CB5"/>
    <w:rsid w:val="473069AF"/>
    <w:rsid w:val="474A0EAF"/>
    <w:rsid w:val="474D4AFC"/>
    <w:rsid w:val="474E50BE"/>
    <w:rsid w:val="47696F9C"/>
    <w:rsid w:val="47714F1F"/>
    <w:rsid w:val="47725A17"/>
    <w:rsid w:val="477D3243"/>
    <w:rsid w:val="478821A1"/>
    <w:rsid w:val="479128A9"/>
    <w:rsid w:val="47975EDC"/>
    <w:rsid w:val="47983B19"/>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9EB7232"/>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07CCA"/>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06027"/>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116021"/>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BE04CC"/>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D4449"/>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5EB7"/>
    <w:rsid w:val="55A42B80"/>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CE0D8E"/>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CE70CD"/>
    <w:rsid w:val="57D82354"/>
    <w:rsid w:val="57FC07D9"/>
    <w:rsid w:val="57FF6992"/>
    <w:rsid w:val="580F1B21"/>
    <w:rsid w:val="581B7E79"/>
    <w:rsid w:val="58437ECA"/>
    <w:rsid w:val="58500F22"/>
    <w:rsid w:val="58587379"/>
    <w:rsid w:val="58667ABC"/>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2E6510"/>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290FA1"/>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1C64D7"/>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11AA9"/>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AB5BEE"/>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50BD"/>
    <w:rsid w:val="746B732F"/>
    <w:rsid w:val="746E18CB"/>
    <w:rsid w:val="746F3904"/>
    <w:rsid w:val="748D52FA"/>
    <w:rsid w:val="74986414"/>
    <w:rsid w:val="74993216"/>
    <w:rsid w:val="74B11E80"/>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3D7143"/>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0B2EAA"/>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5F1C81"/>
    <w:rsid w:val="7A6E4BF5"/>
    <w:rsid w:val="7A7A2665"/>
    <w:rsid w:val="7A851D5D"/>
    <w:rsid w:val="7A8A2267"/>
    <w:rsid w:val="7AB53126"/>
    <w:rsid w:val="7AB7121B"/>
    <w:rsid w:val="7AB76FE8"/>
    <w:rsid w:val="7AD268E2"/>
    <w:rsid w:val="7ADC0B33"/>
    <w:rsid w:val="7AE14C19"/>
    <w:rsid w:val="7AEA174E"/>
    <w:rsid w:val="7AEC1F55"/>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A765D"/>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75413"/>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3</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2023-09-27T09:12:13Z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FBE525C786E743D597468B69D21E7799</vt:lpwstr>
  </property>
</Properties>
</file>